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F8" w:rsidRDefault="002347F8">
      <w:pPr>
        <w:pStyle w:val="ConsPlusNormal"/>
        <w:outlineLvl w:val="0"/>
      </w:pPr>
      <w:r>
        <w:t>Зарегистрировано в Минюсте России 18 декабря 2018 г. N 53041</w:t>
      </w:r>
    </w:p>
    <w:p w:rsidR="002347F8" w:rsidRDefault="002347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Title"/>
        <w:jc w:val="center"/>
      </w:pPr>
      <w:r>
        <w:t>МИНИСТЕРСТВО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</w:t>
      </w:r>
    </w:p>
    <w:p w:rsidR="002347F8" w:rsidRDefault="002347F8">
      <w:pPr>
        <w:pStyle w:val="ConsPlusTitle"/>
        <w:jc w:val="both"/>
      </w:pPr>
    </w:p>
    <w:p w:rsidR="002347F8" w:rsidRDefault="002347F8">
      <w:pPr>
        <w:pStyle w:val="ConsPlusTitle"/>
        <w:jc w:val="center"/>
      </w:pPr>
      <w:r>
        <w:t>ПРИКАЗ</w:t>
      </w:r>
    </w:p>
    <w:p w:rsidR="002347F8" w:rsidRDefault="002347F8">
      <w:pPr>
        <w:pStyle w:val="ConsPlusTitle"/>
        <w:jc w:val="center"/>
      </w:pPr>
      <w:r>
        <w:t>от 28 ноября 2018 г. N 67н</w:t>
      </w:r>
    </w:p>
    <w:p w:rsidR="002347F8" w:rsidRDefault="002347F8">
      <w:pPr>
        <w:pStyle w:val="ConsPlusTitle"/>
        <w:jc w:val="both"/>
      </w:pPr>
    </w:p>
    <w:p w:rsidR="002347F8" w:rsidRDefault="002347F8">
      <w:pPr>
        <w:pStyle w:val="ConsPlusTitle"/>
        <w:jc w:val="center"/>
      </w:pPr>
      <w:r>
        <w:t>ОБ УТВЕРЖДЕНИИ ПОЛОЖЕНИЯ</w:t>
      </w:r>
      <w:bookmarkStart w:id="0" w:name="_GoBack"/>
      <w:bookmarkEnd w:id="0"/>
    </w:p>
    <w:p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:rsidR="002347F8" w:rsidRDefault="002347F8">
      <w:pPr>
        <w:pStyle w:val="ConsPlusTitle"/>
        <w:jc w:val="center"/>
      </w:pPr>
      <w:r>
        <w:t>К СЛУЖЕБНОМУ ПОВЕДЕНИЮ</w:t>
      </w:r>
    </w:p>
    <w:p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</w:tr>
    </w:tbl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в целях реализации </w:t>
      </w:r>
      <w:hyperlink r:id="rId6">
        <w:r>
          <w:rPr>
            <w:color w:val="0000FF"/>
          </w:rPr>
          <w:t>подпункта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jc w:val="right"/>
      </w:pPr>
      <w:r>
        <w:t>Министр</w:t>
      </w:r>
    </w:p>
    <w:p w:rsidR="002347F8" w:rsidRDefault="002347F8">
      <w:pPr>
        <w:pStyle w:val="ConsPlusNormal"/>
        <w:jc w:val="right"/>
      </w:pPr>
      <w:r>
        <w:t>М.М.КОТЮКОВ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jc w:val="right"/>
        <w:outlineLvl w:val="0"/>
      </w:pPr>
      <w:r>
        <w:lastRenderedPageBreak/>
        <w:t>Утверждено</w:t>
      </w:r>
    </w:p>
    <w:p w:rsidR="002347F8" w:rsidRDefault="002347F8">
      <w:pPr>
        <w:pStyle w:val="ConsPlusNormal"/>
        <w:jc w:val="right"/>
      </w:pPr>
      <w:r>
        <w:t>приказом Министерства науки</w:t>
      </w:r>
    </w:p>
    <w:p w:rsidR="002347F8" w:rsidRDefault="002347F8">
      <w:pPr>
        <w:pStyle w:val="ConsPlusNormal"/>
        <w:jc w:val="right"/>
      </w:pPr>
      <w:r>
        <w:t>и высшего образования</w:t>
      </w:r>
    </w:p>
    <w:p w:rsidR="002347F8" w:rsidRDefault="002347F8">
      <w:pPr>
        <w:pStyle w:val="ConsPlusNormal"/>
        <w:jc w:val="right"/>
      </w:pPr>
      <w:r>
        <w:t>Российской Федерации</w:t>
      </w:r>
    </w:p>
    <w:p w:rsidR="002347F8" w:rsidRDefault="002347F8">
      <w:pPr>
        <w:pStyle w:val="ConsPlusNormal"/>
        <w:jc w:val="right"/>
      </w:pPr>
      <w:r>
        <w:t>от 28.11.2018 № 67н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Title"/>
        <w:jc w:val="center"/>
      </w:pPr>
      <w:bookmarkStart w:id="1" w:name="P38"/>
      <w:bookmarkEnd w:id="1"/>
      <w:r>
        <w:t>ПОЛОЖЕНИЕ</w:t>
      </w:r>
    </w:p>
    <w:p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:rsidR="002347F8" w:rsidRDefault="002347F8">
      <w:pPr>
        <w:pStyle w:val="ConsPlusTitle"/>
        <w:jc w:val="center"/>
      </w:pPr>
      <w:r>
        <w:t>К СЛУЖЕБНОМУ ПОВЕДЕНИЮ</w:t>
      </w:r>
    </w:p>
    <w:p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7F8" w:rsidRDefault="002347F8">
            <w:pPr>
              <w:pStyle w:val="ConsPlusNormal"/>
            </w:pPr>
          </w:p>
        </w:tc>
      </w:tr>
    </w:tbl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bookmarkStart w:id="2" w:name="P50"/>
      <w:bookmarkEnd w:id="2"/>
      <w:r>
        <w:t>1. Настоящее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 (далее - Министерство), и соблюдения ими требований к служебному поведению (далее - Положение) определяет правила осуществления проверки: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представления сведений о доходах, расходах, об имуществе и обязательствах имущественного характера в Министерстве науки и высшего образования Российской Федерации, утвержденным приказом Министерства науки и высшего образования Российской Федерации от 26 июля 2018 г. N 11н (зарегистрирован Министерством юстиции Российской Федерации 15 августа 2018 г., регистрационный N 51897) (далее - Порядок представления сведений):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гражданской службы в Министерстве (далее - гражданин);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федеральными государственными гражданскими служащими Министерства (далее - гражданские служащие) за отчетный период и за два года, предшествующие отчетному периоду;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б) достоверности и полноты сведений (в части, касающейся профилактики коррупционных правонарушений), представляемых гражданами при поступлении на федеральную государственную гражданскую службу в Министерство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и другими федеральными законами (далее - требования к служебному </w:t>
      </w:r>
      <w:r>
        <w:lastRenderedPageBreak/>
        <w:t>поведению).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4">
        <w:r>
          <w:rPr>
            <w:color w:val="0000FF"/>
          </w:rPr>
          <w:t>подпунктами "б"</w:t>
        </w:r>
      </w:hyperlink>
      <w:r>
        <w:t xml:space="preserve"> и </w:t>
      </w:r>
      <w:hyperlink w:anchor="P55">
        <w:r>
          <w:rPr>
            <w:color w:val="0000FF"/>
          </w:rPr>
          <w:t>"в" пункта 1</w:t>
        </w:r>
      </w:hyperlink>
      <w:r>
        <w:t xml:space="preserve">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 в Министерстве, и гражданских служащих, замещающих любую должность федеральной государственной гражданской службы в Министерстве.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федеральной государственной гражданской службы, не предусмотренную </w:t>
      </w:r>
      <w:hyperlink r:id="rId10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2 декабря 2021 г. N 1119 (зарегистрирован Министерством юстиции Российской Федерации 13 января 2022 г., регистрационный N 66842) (далее - Перечень), и претендующим на замещение должности федеральной государственной гражданской службы, предусмотренной </w:t>
      </w:r>
      <w:hyperlink r:id="rId11">
        <w:r>
          <w:rPr>
            <w:color w:val="0000FF"/>
          </w:rPr>
          <w:t>Перечнем</w:t>
        </w:r>
      </w:hyperlink>
      <w:r>
        <w:t>, осуществляется в соответствии с Положением.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осуществляется отделом по профилактике коррупционных и иных правонарушений Департамента государственной службы и кадровой политики Министерства (далее - отдел профилактики коррупции) по решению Министра науки и высшего образования Российской Федерации (далее - Министр) либо должностного лица, которому такие полномочия предоставлены Министром.</w:t>
      </w:r>
    </w:p>
    <w:p w:rsidR="002347F8" w:rsidRDefault="002347F8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4. Решение принимается отдельно в отношении каждого гражданина или гражданского служащего и оформляется в письменной форме. &lt;1&gt;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 4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проверке).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5. Отдел профилактики коррупции осуществляет проверку: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5" w:name="P66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Министром,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в) соблюдения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5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является достаточная информация, представленная в письменном виде: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должностными лицами отдела профилактики коррупции;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 &lt;2&gt;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&lt;3&gt;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12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10. Проверка осуществляется: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6" w:name="P86"/>
      <w:bookmarkEnd w:id="6"/>
      <w:r>
        <w:t>а) самостоятельно;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 &lt;4&gt;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Пункт 13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11.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12. При осуществлении проверки, предусмотренной </w:t>
      </w:r>
      <w:hyperlink w:anchor="P86">
        <w:r>
          <w:rPr>
            <w:color w:val="0000FF"/>
          </w:rPr>
          <w:t>подпунктом "а" пункта 10</w:t>
        </w:r>
      </w:hyperlink>
      <w:r>
        <w:t xml:space="preserve"> Положения, должностные лица отдела профилактики коррупции вправе: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7" w:name="P97"/>
      <w:bookmarkEnd w:id="7"/>
      <w:r>
        <w:t>г) направлять запрос, в том числе с использованием государственной информационной системы в области противодействия коррупции "Посейдон" (далее - система "Посейдон"),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о соблюдении гражданским служащим требований к служебному поведению;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8" w:name="P105"/>
      <w:bookmarkEnd w:id="8"/>
      <w:r>
        <w:t xml:space="preserve">13. В запросе, предусмотренном </w:t>
      </w:r>
      <w:hyperlink w:anchor="P97">
        <w:r>
          <w:rPr>
            <w:color w:val="0000FF"/>
          </w:rPr>
          <w:t>подпунктом "г" пункта 12</w:t>
        </w:r>
      </w:hyperlink>
      <w:r>
        <w:t xml:space="preserve"> Положения, указываются: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>е) фамилия, инициалы и номер телефона гражданского служащего, подготовившего запрос;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з) другие необходимые сведения. &lt;5&gt;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Пункт 16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14.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05">
        <w:r>
          <w:rPr>
            <w:color w:val="0000FF"/>
          </w:rPr>
          <w:t>пункте 13</w:t>
        </w:r>
      </w:hyperlink>
      <w: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 &lt;6&gt;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8">
        <w:r>
          <w:rPr>
            <w:color w:val="0000FF"/>
          </w:rPr>
          <w:t>Пункт 17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15. Запросы в государственные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Министром либо уполномоченным им должностным лицом.</w:t>
      </w:r>
    </w:p>
    <w:p w:rsidR="002347F8" w:rsidRDefault="002347F8">
      <w:pPr>
        <w:pStyle w:val="ConsPlusNormal"/>
        <w:jc w:val="both"/>
      </w:pPr>
      <w:r>
        <w:t xml:space="preserve">(п. 15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16.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Министром либо заместителем Министра, специально уполномоченным на то Министром.</w:t>
      </w:r>
    </w:p>
    <w:p w:rsidR="002347F8" w:rsidRDefault="002347F8">
      <w:pPr>
        <w:pStyle w:val="ConsPlusNormal"/>
        <w:jc w:val="both"/>
      </w:pPr>
      <w:r>
        <w:t xml:space="preserve">(п. 16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17. Начальник отдела профилактики коррупции обеспечивает: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29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9" w:name="P129"/>
      <w:bookmarkEnd w:id="9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18. По окончании проверки отдел профилактики коррупции обязан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19. Гражданский служащий вправе: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а) давать пояснения в письменной форме: в ходе проверки;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Положения; по результатам проверки;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 с подлежащим удовлетворению ходатайством о проведении с ним беседы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20. Пояснения, указанные в </w:t>
      </w:r>
      <w:hyperlink w:anchor="P132">
        <w:r>
          <w:rPr>
            <w:color w:val="0000FF"/>
          </w:rPr>
          <w:t>пункте 19</w:t>
        </w:r>
      </w:hyperlink>
      <w:r>
        <w:t xml:space="preserve"> Положения, приобщаются к материалам проверки.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21.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 &lt;7&gt;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4">
        <w:r>
          <w:rPr>
            <w:color w:val="0000FF"/>
          </w:rPr>
          <w:t>Пункт 26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>22. Начальник отдела профилактики коррупции представляет лицу, принявшему решение о проведении проверки, доклад о ее результатах.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bookmarkStart w:id="11" w:name="P145"/>
      <w:bookmarkEnd w:id="11"/>
      <w:r>
        <w:t>23. По результатам проверки должностному лицу, уполномоченному назначать гражданина на должность федеральной государственной гражданской службы или назначившему гражданского служащего на должность федеральной государственной гражданской службы, представляется доклад. При этом в докладе должно содержаться одно из следующих предложений: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 &lt;8&gt;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7">
        <w:r>
          <w:rPr>
            <w:color w:val="0000FF"/>
          </w:rPr>
          <w:t>Пункт 28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24. Сведения о результатах проверки с письменного согласия лица, принявшего решение о ее </w:t>
      </w:r>
      <w:r>
        <w:lastRenderedPageBreak/>
        <w:t>проведении, предоставляются отделом профилактики коррупции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в области персональных данных и о государственной тайне.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&lt;9&gt;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9">
        <w:r>
          <w:rPr>
            <w:color w:val="0000FF"/>
          </w:rPr>
          <w:t>Пункт 30</w:t>
        </w:r>
      </w:hyperlink>
      <w:r>
        <w:t xml:space="preserve"> Положения о проверке.</w:t>
      </w:r>
    </w:p>
    <w:p w:rsidR="002347F8" w:rsidRDefault="002347F8">
      <w:pPr>
        <w:pStyle w:val="ConsPlusNormal"/>
        <w:ind w:firstLine="540"/>
        <w:jc w:val="both"/>
      </w:pPr>
    </w:p>
    <w:p w:rsidR="002347F8" w:rsidRDefault="002347F8">
      <w:pPr>
        <w:pStyle w:val="ConsPlusNormal"/>
        <w:ind w:firstLine="540"/>
        <w:jc w:val="both"/>
      </w:pPr>
      <w:r>
        <w:t xml:space="preserve">26. Должностное лицо, уполномоченное назначать гражданина на должность федеральной государственной гражданской службы или назначившее гражданского служащего на должность федеральной государственной гражданской службы, рассмотрев доклад и соответствующее предложение, указанные в </w:t>
      </w:r>
      <w:hyperlink w:anchor="P145">
        <w:r>
          <w:rPr>
            <w:color w:val="0000FF"/>
          </w:rPr>
          <w:t>пункте 23</w:t>
        </w:r>
      </w:hyperlink>
      <w:r>
        <w:t xml:space="preserve"> Положения, принимает одно из следующих решений: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4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:rsidR="002347F8" w:rsidRDefault="002347F8">
      <w:pPr>
        <w:pStyle w:val="ConsPlusNormal"/>
        <w:spacing w:before="220"/>
        <w:ind w:firstLine="540"/>
        <w:jc w:val="both"/>
      </w:pPr>
      <w:r>
        <w:t>28. Материалы проверки хранятся в отделе профилактики коррупции в течение трех лет со дня ее окончания, после чего передаются в архив.</w:t>
      </w:r>
    </w:p>
    <w:p w:rsidR="002347F8" w:rsidRDefault="002347F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sectPr w:rsidR="002347F8" w:rsidSect="00BE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F8"/>
    <w:rsid w:val="002347F8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CB8D-084C-4057-B98F-026EEE8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7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8825FE1ED00662CB51E76A27E1B7DF4BC307555C343AAA1FB75756658AF38BF2A749AC7B66949C2A680A5DC52B5DAE3D5EEA6100134E8s75EM" TargetMode="External"/><Relationship Id="rId13" Type="http://schemas.openxmlformats.org/officeDocument/2006/relationships/hyperlink" Target="consultantplus://offline/ref=1528825FE1ED00662CB51E76A27E1B7DF4BC307551C243AAA1FB75756658AF38BF2A749AC7B66948C9A680A5DC52B5DAE3D5EEA6100134E8s75EM" TargetMode="External"/><Relationship Id="rId18" Type="http://schemas.openxmlformats.org/officeDocument/2006/relationships/hyperlink" Target="consultantplus://offline/ref=1528825FE1ED00662CB51E76A27E1B7DF4BF347654CB43AAA1FB75756658AF38BF2A749AC7B6694ECBA680A5DC52B5DAE3D5EEA6100134E8s75EM" TargetMode="External"/><Relationship Id="rId26" Type="http://schemas.openxmlformats.org/officeDocument/2006/relationships/hyperlink" Target="consultantplus://offline/ref=1528825FE1ED00662CB51E76A27E1B7DF4BD377156C943AAA1FB75756658AF38AD2A2C96C6B07749C9B3D6F49As054M" TargetMode="External"/><Relationship Id="rId39" Type="http://schemas.openxmlformats.org/officeDocument/2006/relationships/hyperlink" Target="consultantplus://offline/ref=1528825FE1ED00662CB51E76A27E1B7DF4BF347654CB43AAA1FB75756658AF38BF2A749AC7B66848C9A680A5DC52B5DAE3D5EEA6100134E8s75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28825FE1ED00662CB51E76A27E1B7DF4BC307551C243AAA1FB75756658AF38BF2A749AC7B66948CDA680A5DC52B5DAE3D5EEA6100134E8s75EM" TargetMode="External"/><Relationship Id="rId34" Type="http://schemas.openxmlformats.org/officeDocument/2006/relationships/hyperlink" Target="consultantplus://offline/ref=1528825FE1ED00662CB51E76A27E1B7DF4BF347654CB43AAA1FB75756658AF38BF2A749AC7B6684ECCA680A5DC52B5DAE3D5EEA6100134E8s75EM" TargetMode="External"/><Relationship Id="rId42" Type="http://schemas.openxmlformats.org/officeDocument/2006/relationships/hyperlink" Target="consultantplus://offline/ref=1528825FE1ED00662CB51E76A27E1B7DF4BC307551C243AAA1FB75756658AF38BF2A749AC7B6694AC8A680A5DC52B5DAE3D5EEA6100134E8s75EM" TargetMode="External"/><Relationship Id="rId7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12" Type="http://schemas.openxmlformats.org/officeDocument/2006/relationships/hyperlink" Target="consultantplus://offline/ref=1528825FE1ED00662CB51E76A27E1B7DF4BC307551C243AAA1FB75756658AF38BF2A749AC7B66948CBA680A5DC52B5DAE3D5EEA6100134E8s75EM" TargetMode="External"/><Relationship Id="rId17" Type="http://schemas.openxmlformats.org/officeDocument/2006/relationships/hyperlink" Target="consultantplus://offline/ref=1528825FE1ED00662CB51E76A27E1B7DF4BF347654CB43AAA1FB75756658AF38BF2A749AC7B6694FC2A680A5DC52B5DAE3D5EEA6100134E8s75EM" TargetMode="External"/><Relationship Id="rId25" Type="http://schemas.openxmlformats.org/officeDocument/2006/relationships/hyperlink" Target="consultantplus://offline/ref=1528825FE1ED00662CB51E76A27E1B7DF4BF347654CB43AAA1FB75756658AF38BF2A749AC7B66941C9A680A5DC52B5DAE3D5EEA6100134E8s75EM" TargetMode="External"/><Relationship Id="rId33" Type="http://schemas.openxmlformats.org/officeDocument/2006/relationships/hyperlink" Target="consultantplus://offline/ref=1528825FE1ED00662CB51E76A27E1B7DF4BC307551C243AAA1FB75756658AF38BF2A749AC7B6694BCCA680A5DC52B5DAE3D5EEA6100134E8s75EM" TargetMode="External"/><Relationship Id="rId38" Type="http://schemas.openxmlformats.org/officeDocument/2006/relationships/hyperlink" Target="consultantplus://offline/ref=1528825FE1ED00662CB51E76A27E1B7DF4BC307551C243AAA1FB75756658AF38BF2A749AC7B6694ACBA680A5DC52B5DAE3D5EEA6100134E8s75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8825FE1ED00662CB51E76A27E1B7DF4BC307551C243AAA1FB75756658AF38BF2A749AC7B66948CEA680A5DC52B5DAE3D5EEA6100134E8s75EM" TargetMode="External"/><Relationship Id="rId20" Type="http://schemas.openxmlformats.org/officeDocument/2006/relationships/hyperlink" Target="consultantplus://offline/ref=1528825FE1ED00662CB51E76A27E1B7DF4BF347654CB43AAA1FB75756658AF38BF2A749AC7B6694ECAA680A5DC52B5DAE3D5EEA6100134E8s75EM" TargetMode="External"/><Relationship Id="rId29" Type="http://schemas.openxmlformats.org/officeDocument/2006/relationships/hyperlink" Target="consultantplus://offline/ref=1528825FE1ED00662CB51E76A27E1B7DF4BC307551C243AAA1FB75756658AF38BF2A749AC7B6694BC9A680A5DC52B5DAE3D5EEA6100134E8s75EM" TargetMode="External"/><Relationship Id="rId41" Type="http://schemas.openxmlformats.org/officeDocument/2006/relationships/hyperlink" Target="consultantplus://offline/ref=1528825FE1ED00662CB51E76A27E1B7DF4BC307551C243AAA1FB75756658AF38BF2A749AC7B6694AC9A680A5DC52B5DAE3D5EEA6100134E8s75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8825FE1ED00662CB51E76A27E1B7DF4BC347351CC43AAA1FB75756658AF38BF2A749AC7B6694ECBA680A5DC52B5DAE3D5EEA6100134E8s75EM" TargetMode="External"/><Relationship Id="rId11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24" Type="http://schemas.openxmlformats.org/officeDocument/2006/relationships/hyperlink" Target="consultantplus://offline/ref=1528825FE1ED00662CB51E76A27E1B7DF4BC307551C243AAA1FB75756658AF38BF2A749AC7B6694BCBA680A5DC52B5DAE3D5EEA6100134E8s75EM" TargetMode="External"/><Relationship Id="rId32" Type="http://schemas.openxmlformats.org/officeDocument/2006/relationships/hyperlink" Target="consultantplus://offline/ref=1528825FE1ED00662CB51E76A27E1B7DF4BC307551C243AAA1FB75756658AF38BF2A749AC7B6694BCDA680A5DC52B5DAE3D5EEA6100134E8s75EM" TargetMode="External"/><Relationship Id="rId37" Type="http://schemas.openxmlformats.org/officeDocument/2006/relationships/hyperlink" Target="consultantplus://offline/ref=1528825FE1ED00662CB51E76A27E1B7DF4BF347654CB43AAA1FB75756658AF38BF2A749AC7B6684DC8A680A5DC52B5DAE3D5EEA6100134E8s75EM" TargetMode="External"/><Relationship Id="rId40" Type="http://schemas.openxmlformats.org/officeDocument/2006/relationships/hyperlink" Target="consultantplus://offline/ref=1528825FE1ED00662CB51E76A27E1B7DF4BC307551C243AAA1FB75756658AF38BF2A749AC7B6694ACAA680A5DC52B5DAE3D5EEA6100134E8s75EM" TargetMode="External"/><Relationship Id="rId5" Type="http://schemas.openxmlformats.org/officeDocument/2006/relationships/hyperlink" Target="consultantplus://offline/ref=1528825FE1ED00662CB51E76A27E1B7DF4BF347654CB43AAA1FB75756658AF38BF2A749AC7B6684EC8A680A5DC52B5DAE3D5EEA6100134E8s75EM" TargetMode="External"/><Relationship Id="rId15" Type="http://schemas.openxmlformats.org/officeDocument/2006/relationships/hyperlink" Target="consultantplus://offline/ref=1528825FE1ED00662CB51E76A27E1B7DF4BC307551C243AAA1FB75756658AF38BF2A749AC7B66948CFA680A5DC52B5DAE3D5EEA6100134E8s75EM" TargetMode="External"/><Relationship Id="rId23" Type="http://schemas.openxmlformats.org/officeDocument/2006/relationships/hyperlink" Target="consultantplus://offline/ref=1528825FE1ED00662CB51E76A27E1B7DF4BC307551C243AAA1FB75756658AF38BF2A749AC7B66948C2A680A5DC52B5DAE3D5EEA6100134E8s75EM" TargetMode="External"/><Relationship Id="rId28" Type="http://schemas.openxmlformats.org/officeDocument/2006/relationships/hyperlink" Target="consultantplus://offline/ref=1528825FE1ED00662CB51E76A27E1B7DF4BF347654CB43AAA1FB75756658AF38BF2A749AC7B6684DC9A680A5DC52B5DAE3D5EEA6100134E8s75EM" TargetMode="External"/><Relationship Id="rId36" Type="http://schemas.openxmlformats.org/officeDocument/2006/relationships/hyperlink" Target="consultantplus://offline/ref=1528825FE1ED00662CB51E76A27E1B7DF4BC307551C243AAA1FB75756658AF38BF2A749AC7B6694BC2A680A5DC52B5DAE3D5EEA6100134E8s75EM" TargetMode="External"/><Relationship Id="rId10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19" Type="http://schemas.openxmlformats.org/officeDocument/2006/relationships/hyperlink" Target="consultantplus://offline/ref=1528825FE1ED00662CB51E76A27E1B7DF4BD377156C943AAA1FB75756658AF38BF2A749AC3BD3D188FF8D9F59E19B8D9FBC9EEA6s05DM" TargetMode="External"/><Relationship Id="rId31" Type="http://schemas.openxmlformats.org/officeDocument/2006/relationships/hyperlink" Target="consultantplus://offline/ref=1528825FE1ED00662CB51E76A27E1B7DF4BC307551C243AAA1FB75756658AF38BF2A749AC7B6694BCEA680A5DC52B5DAE3D5EEA6100134E8s75E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9" Type="http://schemas.openxmlformats.org/officeDocument/2006/relationships/hyperlink" Target="consultantplus://offline/ref=1528825FE1ED00662CB51E76A27E1B7DF4BD377550CC43AAA1FB75756658AF38AD2A2C96C6B07749C9B3D6F49As054M" TargetMode="External"/><Relationship Id="rId14" Type="http://schemas.openxmlformats.org/officeDocument/2006/relationships/hyperlink" Target="consultantplus://offline/ref=1528825FE1ED00662CB51E76A27E1B7DF4BF347654CB43AAA1FB75756658AF38BF2A749AC7B6684CCFA680A5DC52B5DAE3D5EEA6100134E8s75EM" TargetMode="External"/><Relationship Id="rId22" Type="http://schemas.openxmlformats.org/officeDocument/2006/relationships/hyperlink" Target="consultantplus://offline/ref=1528825FE1ED00662CB51E76A27E1B7DF4BC307551C243AAA1FB75756658AF38BF2A749AC7B66948C3A680A5DC52B5DAE3D5EEA6100134E8s75EM" TargetMode="External"/><Relationship Id="rId27" Type="http://schemas.openxmlformats.org/officeDocument/2006/relationships/hyperlink" Target="consultantplus://offline/ref=1528825FE1ED00662CB51E76A27E1B7DF4BC307551C243AAA1FB75756658AF38BF2A749AC7B6694BCAA680A5DC52B5DAE3D5EEA6100134E8s75EM" TargetMode="External"/><Relationship Id="rId30" Type="http://schemas.openxmlformats.org/officeDocument/2006/relationships/hyperlink" Target="consultantplus://offline/ref=1528825FE1ED00662CB51E76A27E1B7DF4BC307551C243AAA1FB75756658AF38BF2A749AC7B6694BCFA680A5DC52B5DAE3D5EEA6100134E8s75EM" TargetMode="External"/><Relationship Id="rId35" Type="http://schemas.openxmlformats.org/officeDocument/2006/relationships/hyperlink" Target="consultantplus://offline/ref=1528825FE1ED00662CB51E76A27E1B7DF4BC307551C243AAA1FB75756658AF38BF2A749AC7B6694BC3A680A5DC52B5DAE3D5EEA6100134E8s75E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2023-02-16T12:57:00Z</dcterms:created>
  <dcterms:modified xsi:type="dcterms:W3CDTF">2023-02-16T12:59:00Z</dcterms:modified>
</cp:coreProperties>
</file>